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778" w:rsidRDefault="00AD5A89">
      <w:pPr>
        <w:rPr>
          <w:b/>
        </w:rPr>
      </w:pPr>
      <w:r w:rsidRPr="00AD5A89">
        <w:rPr>
          <w:b/>
        </w:rPr>
        <w:t>Title:</w:t>
      </w:r>
      <w:r>
        <w:rPr>
          <w:b/>
        </w:rPr>
        <w:t xml:space="preserve"> </w:t>
      </w:r>
    </w:p>
    <w:p w:rsidR="00656778" w:rsidRDefault="00656778"/>
    <w:p w:rsidR="00656778" w:rsidRDefault="00AD5A89">
      <w:pPr>
        <w:rPr>
          <w:b/>
        </w:rPr>
      </w:pPr>
      <w:r w:rsidRPr="00AD5A89">
        <w:t>Inclusion of Students with Intellectual and Developmental Disabilities and Postsecondary Outcomes: A Systematic Literature Review</w:t>
      </w:r>
      <w:r w:rsidRPr="00AD5A89">
        <w:br/>
      </w:r>
      <w:r w:rsidRPr="00AD5A89">
        <w:rPr>
          <w:b/>
        </w:rPr>
        <w:br/>
        <w:t>Citation:</w:t>
      </w:r>
      <w:r w:rsidR="004A4390">
        <w:rPr>
          <w:b/>
        </w:rPr>
        <w:t xml:space="preserve"> </w:t>
      </w:r>
    </w:p>
    <w:p w:rsidR="00656778" w:rsidRDefault="00656778"/>
    <w:p w:rsidR="00AF14C8" w:rsidRPr="00AD5A89" w:rsidRDefault="004A4390">
      <w:r w:rsidRPr="004A4390">
        <w:t xml:space="preserve">Taylor, J., Rooney, M., Avellone, L., Seward, H., Whittenburg, H., &amp; </w:t>
      </w:r>
      <w:proofErr w:type="spellStart"/>
      <w:r w:rsidRPr="004A4390">
        <w:t>Thoma</w:t>
      </w:r>
      <w:proofErr w:type="spellEnd"/>
      <w:r w:rsidRPr="004A4390">
        <w:t xml:space="preserve">, C.  (2020). Inclusion of students with intellectual and developmental disabilities &amp; postsecondary outcomes: A systematic review of the literature. </w:t>
      </w:r>
      <w:r w:rsidRPr="004A4390">
        <w:rPr>
          <w:i/>
        </w:rPr>
        <w:t>Inclusion, 8</w:t>
      </w:r>
      <w:r w:rsidRPr="004A4390">
        <w:t>(4).</w:t>
      </w:r>
    </w:p>
    <w:p w:rsidR="00AD5A89" w:rsidRDefault="00AD5A89"/>
    <w:p w:rsidR="00AD5A89" w:rsidRDefault="00AD5A89"/>
    <w:p w:rsidR="00AD5A89" w:rsidRPr="00AD5A89" w:rsidRDefault="00AD5A89">
      <w:pPr>
        <w:rPr>
          <w:b/>
        </w:rPr>
      </w:pPr>
      <w:r w:rsidRPr="00AD5A89">
        <w:rPr>
          <w:b/>
        </w:rPr>
        <w:t>A Quick Look</w:t>
      </w:r>
      <w:r>
        <w:rPr>
          <w:b/>
        </w:rPr>
        <w:t xml:space="preserve"> (~100 word summary)</w:t>
      </w:r>
      <w:r w:rsidRPr="00AD5A89">
        <w:rPr>
          <w:b/>
        </w:rPr>
        <w:t xml:space="preserve">: </w:t>
      </w:r>
    </w:p>
    <w:p w:rsidR="00AD5A89" w:rsidRDefault="00AD5A89"/>
    <w:p w:rsidR="00AD5A89" w:rsidRDefault="00656778">
      <w:r>
        <w:rPr>
          <w:rFonts w:eastAsia="Times New Roman" w:cs="Times New Roman"/>
          <w:szCs w:val="24"/>
        </w:rPr>
        <w:t>Unfortunately, many</w:t>
      </w:r>
      <w:r w:rsidRPr="00D957E7">
        <w:rPr>
          <w:rFonts w:eastAsia="Times New Roman" w:cs="Times New Roman"/>
          <w:szCs w:val="24"/>
        </w:rPr>
        <w:t xml:space="preserve"> individuals with </w:t>
      </w:r>
      <w:r>
        <w:rPr>
          <w:rFonts w:eastAsia="Times New Roman" w:cs="Times New Roman"/>
          <w:szCs w:val="24"/>
        </w:rPr>
        <w:t>intellectual and developmental disabilities (</w:t>
      </w:r>
      <w:r>
        <w:rPr>
          <w:rFonts w:cs="Times New Roman"/>
          <w:szCs w:val="24"/>
        </w:rPr>
        <w:t>IDD</w:t>
      </w:r>
      <w:r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never achieve</w:t>
      </w:r>
      <w:r w:rsidRPr="00D957E7">
        <w:rPr>
          <w:rFonts w:eastAsia="Times New Roman" w:cs="Times New Roman"/>
          <w:szCs w:val="24"/>
        </w:rPr>
        <w:t xml:space="preserve"> meaningful paid employment </w:t>
      </w:r>
      <w:r>
        <w:rPr>
          <w:rFonts w:eastAsia="Times New Roman" w:cs="Times New Roman"/>
          <w:szCs w:val="24"/>
        </w:rPr>
        <w:t xml:space="preserve">or </w:t>
      </w:r>
      <w:r w:rsidRPr="00D957E7">
        <w:rPr>
          <w:rFonts w:eastAsia="Times New Roman" w:cs="Times New Roman"/>
          <w:szCs w:val="24"/>
        </w:rPr>
        <w:t xml:space="preserve">enroll in postsecondary education after graduation from high school. Although educational and workforce legislation has emphasized </w:t>
      </w:r>
      <w:r>
        <w:rPr>
          <w:rFonts w:eastAsia="Times New Roman" w:cs="Times New Roman"/>
          <w:szCs w:val="24"/>
        </w:rPr>
        <w:t xml:space="preserve">both inclusive education and </w:t>
      </w:r>
      <w:r w:rsidRPr="00D957E7">
        <w:rPr>
          <w:rFonts w:eastAsia="Times New Roman" w:cs="Times New Roman"/>
          <w:szCs w:val="24"/>
        </w:rPr>
        <w:t>competitive integrated employment</w:t>
      </w:r>
      <w:r>
        <w:rPr>
          <w:rFonts w:eastAsia="Times New Roman" w:cs="Times New Roman"/>
          <w:szCs w:val="24"/>
        </w:rPr>
        <w:t xml:space="preserve"> for youth with IDD</w:t>
      </w:r>
      <w:r w:rsidRPr="00D957E7">
        <w:rPr>
          <w:rFonts w:eastAsia="Times New Roman" w:cs="Times New Roman"/>
          <w:szCs w:val="24"/>
        </w:rPr>
        <w:t xml:space="preserve">, no previous reviews examined the strength of evidence for </w:t>
      </w:r>
      <w:r>
        <w:rPr>
          <w:rFonts w:eastAsia="Times New Roman" w:cs="Times New Roman"/>
          <w:szCs w:val="24"/>
        </w:rPr>
        <w:t xml:space="preserve">the former </w:t>
      </w:r>
      <w:r w:rsidRPr="00D957E7">
        <w:rPr>
          <w:rFonts w:eastAsia="Times New Roman" w:cs="Times New Roman"/>
          <w:szCs w:val="24"/>
        </w:rPr>
        <w:t xml:space="preserve">as a pathway to </w:t>
      </w:r>
      <w:r>
        <w:rPr>
          <w:rFonts w:eastAsia="Times New Roman" w:cs="Times New Roman"/>
          <w:szCs w:val="24"/>
        </w:rPr>
        <w:t>better</w:t>
      </w:r>
      <w:r w:rsidRPr="00D957E7">
        <w:rPr>
          <w:rFonts w:eastAsia="Times New Roman" w:cs="Times New Roman"/>
          <w:szCs w:val="24"/>
        </w:rPr>
        <w:t xml:space="preserve"> outcomes</w:t>
      </w:r>
      <w:r>
        <w:rPr>
          <w:rFonts w:eastAsia="Times New Roman" w:cs="Times New Roman"/>
          <w:szCs w:val="24"/>
        </w:rPr>
        <w:t xml:space="preserve"> for this group</w:t>
      </w:r>
      <w:r w:rsidRPr="00D957E7">
        <w:rPr>
          <w:rFonts w:eastAsia="Times New Roman" w:cs="Times New Roman"/>
          <w:szCs w:val="24"/>
        </w:rPr>
        <w:t xml:space="preserve">. This systematic literature review searched </w:t>
      </w:r>
      <w:r>
        <w:rPr>
          <w:rFonts w:eastAsia="Times New Roman" w:cs="Times New Roman"/>
          <w:szCs w:val="24"/>
        </w:rPr>
        <w:t xml:space="preserve">research </w:t>
      </w:r>
      <w:r w:rsidRPr="00D957E7">
        <w:rPr>
          <w:rFonts w:eastAsia="Times New Roman" w:cs="Times New Roman"/>
          <w:szCs w:val="24"/>
        </w:rPr>
        <w:t xml:space="preserve">articles </w:t>
      </w:r>
      <w:r>
        <w:rPr>
          <w:rFonts w:eastAsia="Times New Roman" w:cs="Times New Roman"/>
          <w:szCs w:val="24"/>
        </w:rPr>
        <w:t xml:space="preserve">published between </w:t>
      </w:r>
      <w:r w:rsidRPr="00D957E7">
        <w:rPr>
          <w:rFonts w:eastAsia="Times New Roman" w:cs="Times New Roman"/>
          <w:szCs w:val="24"/>
        </w:rPr>
        <w:t>1997</w:t>
      </w:r>
      <w:r>
        <w:rPr>
          <w:rFonts w:eastAsia="Times New Roman" w:cs="Times New Roman"/>
          <w:szCs w:val="24"/>
        </w:rPr>
        <w:t xml:space="preserve"> and 2018</w:t>
      </w:r>
      <w:r>
        <w:rPr>
          <w:rFonts w:eastAsia="Times New Roman" w:cs="Times New Roman"/>
          <w:szCs w:val="24"/>
        </w:rPr>
        <w:t xml:space="preserve"> and found that K-12 inclusive education was overall linked with better employment and educational outcomes after students graduated</w:t>
      </w:r>
      <w:r>
        <w:rPr>
          <w:rFonts w:eastAsia="Times New Roman" w:cs="Times New Roman"/>
          <w:szCs w:val="24"/>
        </w:rPr>
        <w:t>.</w:t>
      </w:r>
    </w:p>
    <w:p w:rsidR="00AD5A89" w:rsidRDefault="00AD5A89"/>
    <w:p w:rsidR="00AD5A89" w:rsidRPr="00AD5A89" w:rsidRDefault="00AD5A89">
      <w:pPr>
        <w:rPr>
          <w:b/>
        </w:rPr>
      </w:pPr>
      <w:r w:rsidRPr="00AD5A89">
        <w:rPr>
          <w:b/>
        </w:rPr>
        <w:t xml:space="preserve">Key Findings: </w:t>
      </w:r>
    </w:p>
    <w:p w:rsidR="00AD5A89" w:rsidRDefault="00AD5A89" w:rsidP="00AD5A89">
      <w:pPr>
        <w:pStyle w:val="ListParagraph"/>
        <w:numPr>
          <w:ilvl w:val="0"/>
          <w:numId w:val="2"/>
        </w:numPr>
      </w:pPr>
      <w:r>
        <w:t xml:space="preserve"> </w:t>
      </w:r>
      <w:r w:rsidR="001604A5">
        <w:t>Inclusive education broadly linked to better employment outcomes (hours and wages) and higher likelihood of postsecondary education enrollment</w:t>
      </w:r>
    </w:p>
    <w:p w:rsidR="000F37C6" w:rsidRDefault="000F37C6" w:rsidP="00AD5A89">
      <w:pPr>
        <w:pStyle w:val="ListParagraph"/>
        <w:numPr>
          <w:ilvl w:val="0"/>
          <w:numId w:val="2"/>
        </w:numPr>
      </w:pPr>
      <w:r>
        <w:t xml:space="preserve">Strengthens support for inclusive education as a predictor of postsecondary success for youth with disabilities (e.g., </w:t>
      </w:r>
      <w:proofErr w:type="spellStart"/>
      <w:r>
        <w:t>Mazzotti</w:t>
      </w:r>
      <w:proofErr w:type="spellEnd"/>
      <w:r>
        <w:t xml:space="preserve"> et al., 2020)</w:t>
      </w:r>
    </w:p>
    <w:p w:rsidR="00AD5A89" w:rsidRDefault="00AD5A89" w:rsidP="00AD5A89">
      <w:pPr>
        <w:pStyle w:val="ListParagraph"/>
        <w:numPr>
          <w:ilvl w:val="0"/>
          <w:numId w:val="2"/>
        </w:numPr>
      </w:pPr>
      <w:r>
        <w:t xml:space="preserve"> </w:t>
      </w:r>
      <w:r w:rsidR="001604A5">
        <w:t xml:space="preserve">Inclusive education was defined differently across studies—some researchers measured time in general education classrooms and extracurricular activities with peers; others examined the type of school students attended </w:t>
      </w:r>
    </w:p>
    <w:p w:rsidR="00AD5A89" w:rsidRDefault="00AD5A89" w:rsidP="00AD5A89">
      <w:pPr>
        <w:pStyle w:val="ListParagraph"/>
        <w:numPr>
          <w:ilvl w:val="0"/>
          <w:numId w:val="2"/>
        </w:numPr>
      </w:pPr>
      <w:r>
        <w:t xml:space="preserve"> </w:t>
      </w:r>
      <w:r w:rsidR="001604A5">
        <w:t>Most of the studies were correlational in nature and used secondary data analysis in their investigations</w:t>
      </w:r>
    </w:p>
    <w:p w:rsidR="00AD5A89" w:rsidRDefault="00AD5A89" w:rsidP="005644C8">
      <w:pPr>
        <w:pStyle w:val="ListParagraph"/>
        <w:numPr>
          <w:ilvl w:val="0"/>
          <w:numId w:val="2"/>
        </w:numPr>
      </w:pPr>
      <w:r>
        <w:t xml:space="preserve"> </w:t>
      </w:r>
      <w:r w:rsidR="001604A5">
        <w:t>One study used statistical methods to account for individual differences in participants in how inclusive education related to postsecondary education—they found inconclusive results</w:t>
      </w:r>
    </w:p>
    <w:p w:rsidR="00AD5A89" w:rsidRDefault="00AD5A89"/>
    <w:p w:rsidR="00AD5A89" w:rsidRPr="00AD5A89" w:rsidRDefault="00AD5A89">
      <w:pPr>
        <w:rPr>
          <w:b/>
        </w:rPr>
      </w:pPr>
      <w:r w:rsidRPr="00AD5A89">
        <w:rPr>
          <w:b/>
        </w:rPr>
        <w:t xml:space="preserve">Putting It Into Practice: </w:t>
      </w:r>
    </w:p>
    <w:p w:rsidR="00AD5A89" w:rsidRDefault="00AD5A89">
      <w:r>
        <w:t>To create more positive employment opportunities for youth with IDD:</w:t>
      </w:r>
    </w:p>
    <w:p w:rsidR="000F37C6" w:rsidRDefault="000F37C6" w:rsidP="00AD5A89">
      <w:pPr>
        <w:pStyle w:val="ListParagraph"/>
        <w:numPr>
          <w:ilvl w:val="0"/>
          <w:numId w:val="2"/>
        </w:numPr>
      </w:pPr>
      <w:r>
        <w:t>Practitioners should emphasize high expectations for students to perform academically and gain skills and knowledge necessary to achieve their career goals</w:t>
      </w:r>
    </w:p>
    <w:p w:rsidR="00AD5A89" w:rsidRDefault="000F37C6" w:rsidP="00AD5A89">
      <w:pPr>
        <w:pStyle w:val="ListParagraph"/>
        <w:numPr>
          <w:ilvl w:val="0"/>
          <w:numId w:val="2"/>
        </w:numPr>
      </w:pPr>
      <w:r>
        <w:t>Inclusive education should be considered a key part of transition planning and programming alongside other major predictors of success for this group like previous paid work experience and participation in an internship</w:t>
      </w:r>
    </w:p>
    <w:p w:rsidR="00AD5A89" w:rsidRDefault="000F37C6" w:rsidP="00AD5A89">
      <w:pPr>
        <w:pStyle w:val="ListParagraph"/>
        <w:numPr>
          <w:ilvl w:val="0"/>
          <w:numId w:val="2"/>
        </w:numPr>
      </w:pPr>
      <w:r>
        <w:t xml:space="preserve">Transition practitioners should look to balance academic and vocational/career-oriented goals and activities for youth </w:t>
      </w:r>
    </w:p>
    <w:p w:rsidR="00AD5A89" w:rsidRDefault="000F37C6" w:rsidP="000F37C6">
      <w:pPr>
        <w:pStyle w:val="ListParagraph"/>
        <w:numPr>
          <w:ilvl w:val="0"/>
          <w:numId w:val="2"/>
        </w:numPr>
      </w:pPr>
      <w:r>
        <w:lastRenderedPageBreak/>
        <w:t xml:space="preserve">Collaboration should extend not only to coordination between case managers in K-12 and vocational rehabilitation agencies, but also general educators who may provide insight into academic strengths that may be related to career aspirations. </w:t>
      </w:r>
    </w:p>
    <w:p w:rsidR="00AD5A89" w:rsidRDefault="00AD5A89"/>
    <w:p w:rsidR="00AD5A89" w:rsidRDefault="00AD5A89">
      <w:bookmarkStart w:id="0" w:name="_GoBack"/>
      <w:bookmarkEnd w:id="0"/>
    </w:p>
    <w:p w:rsidR="000F37C6" w:rsidRDefault="00AD5A89" w:rsidP="000F37C6">
      <w:pPr>
        <w:rPr>
          <w:b/>
        </w:rPr>
      </w:pPr>
      <w:r w:rsidRPr="00AD5A89">
        <w:rPr>
          <w:b/>
        </w:rPr>
        <w:t xml:space="preserve">More about this article: </w:t>
      </w:r>
    </w:p>
    <w:p w:rsidR="00065801" w:rsidRPr="000F37C6" w:rsidRDefault="00065801" w:rsidP="000F37C6">
      <w:pPr>
        <w:rPr>
          <w:b/>
        </w:rPr>
      </w:pPr>
      <w:r>
        <w:t xml:space="preserve">The inclusion of individuals with IDD </w:t>
      </w:r>
      <w:r w:rsidR="000F37C6">
        <w:t xml:space="preserve">in K-12 and employment settings </w:t>
      </w:r>
      <w:r>
        <w:t xml:space="preserve">should continue to be an emphasis of policy and practice. Additionally, future research is needed to provide greater insight into the nature of this bridge between K-12 inclusion and competitive integrated employment in order to better inform transition planning and practice. </w:t>
      </w:r>
    </w:p>
    <w:sectPr w:rsidR="00065801" w:rsidRPr="000F37C6" w:rsidSect="002D0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54AB6"/>
    <w:multiLevelType w:val="hybridMultilevel"/>
    <w:tmpl w:val="BC3E1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C7B27"/>
    <w:multiLevelType w:val="hybridMultilevel"/>
    <w:tmpl w:val="7BD6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82"/>
    <w:rsid w:val="00065801"/>
    <w:rsid w:val="000F37C6"/>
    <w:rsid w:val="001058C6"/>
    <w:rsid w:val="001604A5"/>
    <w:rsid w:val="002D0C68"/>
    <w:rsid w:val="00302A82"/>
    <w:rsid w:val="004A4390"/>
    <w:rsid w:val="00656778"/>
    <w:rsid w:val="008F3C44"/>
    <w:rsid w:val="009F5835"/>
    <w:rsid w:val="00AD5A89"/>
    <w:rsid w:val="00B46B79"/>
    <w:rsid w:val="00B71A27"/>
    <w:rsid w:val="00EA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909C"/>
  <w15:chartTrackingRefBased/>
  <w15:docId w15:val="{51E43482-4F10-9A44-8C15-3F641A80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Body CS)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Taylor</dc:creator>
  <cp:keywords/>
  <dc:description/>
  <cp:lastModifiedBy>Josh Taylor</cp:lastModifiedBy>
  <cp:revision>4</cp:revision>
  <dcterms:created xsi:type="dcterms:W3CDTF">2020-12-01T05:09:00Z</dcterms:created>
  <dcterms:modified xsi:type="dcterms:W3CDTF">2020-12-01T05:32:00Z</dcterms:modified>
</cp:coreProperties>
</file>