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C4C39" w14:textId="77777777" w:rsidR="0032473B" w:rsidRPr="0032473B" w:rsidRDefault="0032473B" w:rsidP="0032473B">
      <w:pPr>
        <w:shd w:val="clear" w:color="auto" w:fill="FFFFFF"/>
        <w:spacing w:after="240" w:line="240" w:lineRule="auto"/>
        <w:outlineLvl w:val="1"/>
        <w:rPr>
          <w:rFonts w:ascii="Arial" w:eastAsia="Times New Roman" w:hAnsi="Arial" w:cs="Arial"/>
          <w:b/>
          <w:bCs/>
          <w:color w:val="283101"/>
          <w:spacing w:val="-8"/>
          <w:sz w:val="36"/>
          <w:szCs w:val="36"/>
        </w:rPr>
      </w:pPr>
      <w:r w:rsidRPr="0032473B">
        <w:rPr>
          <w:rFonts w:ascii="Arial" w:eastAsia="Times New Roman" w:hAnsi="Arial" w:cs="Arial"/>
          <w:b/>
          <w:bCs/>
          <w:color w:val="283101"/>
          <w:spacing w:val="-8"/>
          <w:sz w:val="36"/>
          <w:szCs w:val="36"/>
        </w:rPr>
        <w:t>Evaluating the Differential Impact of Interventions to Promote Self-Determination and Goal Attainment for Transition-Age Youth with Intellectual Disability</w:t>
      </w:r>
    </w:p>
    <w:p w14:paraId="714506D7" w14:textId="77777777" w:rsidR="0032473B" w:rsidRPr="0032473B" w:rsidRDefault="0032473B" w:rsidP="0032473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32473B">
        <w:rPr>
          <w:rFonts w:ascii="Arial" w:eastAsia="Times New Roman" w:hAnsi="Arial" w:cs="Arial"/>
          <w:color w:val="333333"/>
          <w:spacing w:val="2"/>
          <w:sz w:val="23"/>
          <w:szCs w:val="23"/>
        </w:rPr>
        <w:t xml:space="preserve">This summary is for general information and reference purposes. The original article is </w:t>
      </w:r>
      <w:proofErr w:type="gramStart"/>
      <w:r w:rsidRPr="0032473B">
        <w:rPr>
          <w:rFonts w:ascii="Arial" w:eastAsia="Times New Roman" w:hAnsi="Arial" w:cs="Arial"/>
          <w:color w:val="333333"/>
          <w:spacing w:val="2"/>
          <w:sz w:val="23"/>
          <w:szCs w:val="23"/>
        </w:rPr>
        <w:t>owned</w:t>
      </w:r>
      <w:proofErr w:type="gramEnd"/>
      <w:r w:rsidRPr="0032473B">
        <w:rPr>
          <w:rFonts w:ascii="Arial" w:eastAsia="Times New Roman" w:hAnsi="Arial" w:cs="Arial"/>
          <w:color w:val="333333"/>
          <w:spacing w:val="2"/>
          <w:sz w:val="23"/>
          <w:szCs w:val="23"/>
        </w:rPr>
        <w:t xml:space="preserve"> and copyright protected by Sage Publications.</w:t>
      </w:r>
    </w:p>
    <w:p w14:paraId="002458AD" w14:textId="77777777" w:rsidR="0032473B" w:rsidRPr="0032473B" w:rsidRDefault="0032473B" w:rsidP="0032473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32473B">
        <w:rPr>
          <w:rFonts w:ascii="Arial" w:eastAsia="Times New Roman" w:hAnsi="Arial" w:cs="Arial"/>
          <w:b/>
          <w:bCs/>
          <w:color w:val="333333"/>
          <w:spacing w:val="2"/>
          <w:sz w:val="23"/>
          <w:szCs w:val="23"/>
        </w:rPr>
        <w:t>A quick look:</w:t>
      </w:r>
      <w:r w:rsidRPr="0032473B">
        <w:rPr>
          <w:rFonts w:ascii="Arial" w:eastAsia="Times New Roman" w:hAnsi="Arial" w:cs="Arial"/>
          <w:color w:val="333333"/>
          <w:spacing w:val="2"/>
          <w:sz w:val="23"/>
          <w:szCs w:val="23"/>
        </w:rPr>
        <w:br/>
      </w:r>
      <w:r w:rsidRPr="0032473B">
        <w:rPr>
          <w:rFonts w:ascii="Arial" w:eastAsia="Times New Roman" w:hAnsi="Arial" w:cs="Arial"/>
          <w:color w:val="333333"/>
          <w:spacing w:val="2"/>
          <w:sz w:val="23"/>
          <w:szCs w:val="23"/>
        </w:rPr>
        <w:br/>
      </w:r>
      <w:r w:rsidRPr="0032473B">
        <w:rPr>
          <w:rFonts w:ascii="Arial" w:eastAsia="Times New Roman" w:hAnsi="Arial" w:cs="Arial"/>
          <w:i/>
          <w:iCs/>
          <w:color w:val="333333"/>
          <w:spacing w:val="2"/>
          <w:sz w:val="23"/>
          <w:szCs w:val="23"/>
        </w:rPr>
        <w:t xml:space="preserve">Self-determination is defined as the freedom to live as one chooses, or to act or decide without consulting another or others. Self-determination is a concept that is especially important for transition aged youth who are on the verge of entering the workforce. But what is so important about self-determination for individuals with intellectual disabilities? Is there any training for them </w:t>
      </w:r>
      <w:proofErr w:type="gramStart"/>
      <w:r w:rsidRPr="0032473B">
        <w:rPr>
          <w:rFonts w:ascii="Arial" w:eastAsia="Times New Roman" w:hAnsi="Arial" w:cs="Arial"/>
          <w:i/>
          <w:iCs/>
          <w:color w:val="333333"/>
          <w:spacing w:val="2"/>
          <w:sz w:val="23"/>
          <w:szCs w:val="23"/>
        </w:rPr>
        <w:t>in regards to</w:t>
      </w:r>
      <w:proofErr w:type="gramEnd"/>
      <w:r w:rsidRPr="0032473B">
        <w:rPr>
          <w:rFonts w:ascii="Arial" w:eastAsia="Times New Roman" w:hAnsi="Arial" w:cs="Arial"/>
          <w:i/>
          <w:iCs/>
          <w:color w:val="333333"/>
          <w:spacing w:val="2"/>
          <w:sz w:val="23"/>
          <w:szCs w:val="23"/>
        </w:rPr>
        <w:t xml:space="preserve"> self-determination skills? The study of this article looks at the different effects of performing Self-Determined Learning Models of Instruction (SDLMI). The authors also examine SDLMI joined with the “Whose Future Is It?” training for transition aged youth with intellectual disabilities in the state of Rhode Island.</w:t>
      </w:r>
    </w:p>
    <w:p w14:paraId="0D6A8DFD" w14:textId="77777777" w:rsidR="0032473B" w:rsidRPr="0032473B" w:rsidRDefault="0032473B" w:rsidP="0032473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32473B">
        <w:rPr>
          <w:rFonts w:ascii="Arial" w:eastAsia="Times New Roman" w:hAnsi="Arial" w:cs="Arial"/>
          <w:b/>
          <w:bCs/>
          <w:color w:val="333333"/>
          <w:spacing w:val="2"/>
          <w:sz w:val="23"/>
          <w:szCs w:val="23"/>
        </w:rPr>
        <w:t>Key Findings:</w:t>
      </w:r>
      <w:r w:rsidRPr="0032473B">
        <w:rPr>
          <w:rFonts w:ascii="Arial" w:eastAsia="Times New Roman" w:hAnsi="Arial" w:cs="Arial"/>
          <w:color w:val="333333"/>
          <w:spacing w:val="2"/>
          <w:sz w:val="23"/>
          <w:szCs w:val="23"/>
        </w:rPr>
        <w:br/>
      </w:r>
      <w:r w:rsidRPr="0032473B">
        <w:rPr>
          <w:rFonts w:ascii="Arial" w:eastAsia="Times New Roman" w:hAnsi="Arial" w:cs="Arial"/>
          <w:b/>
          <w:bCs/>
          <w:color w:val="333333"/>
          <w:spacing w:val="2"/>
          <w:sz w:val="23"/>
          <w:szCs w:val="23"/>
        </w:rPr>
        <w:t> </w:t>
      </w:r>
      <w:r w:rsidRPr="0032473B">
        <w:rPr>
          <w:rFonts w:ascii="Arial" w:eastAsia="Times New Roman" w:hAnsi="Arial" w:cs="Arial"/>
          <w:color w:val="333333"/>
          <w:spacing w:val="2"/>
          <w:sz w:val="23"/>
          <w:szCs w:val="23"/>
        </w:rPr>
        <w:br/>
        <w:t>Researchers have established that promoting skills associated with self-determination leads to enhanced attainment of school-based transition-related goals in adolescents with intellectual disabilities. SDLMI is an evidenced-based model that can be used by educators to provide instruction and support to enhance an individual’s self-regulated goal setting. Whose Future Is It? is a technology-based curriculum with universal design features that deliver content to students about planning for transitioning from school to post-school employment and other community-related activities. Here are some of the findings for the study done in Rhode Island:</w:t>
      </w:r>
    </w:p>
    <w:p w14:paraId="4BD5CBAC" w14:textId="77777777" w:rsidR="0032473B" w:rsidRPr="0032473B" w:rsidRDefault="0032473B" w:rsidP="0032473B">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32473B">
        <w:rPr>
          <w:rFonts w:ascii="Arial" w:eastAsia="Times New Roman" w:hAnsi="Arial" w:cs="Arial"/>
          <w:color w:val="333333"/>
          <w:spacing w:val="5"/>
          <w:sz w:val="23"/>
          <w:szCs w:val="23"/>
        </w:rPr>
        <w:t>Students in SDLMI by itself reported significant increases in their self-determination scores from the beginning of the study to the end of the year.</w:t>
      </w:r>
    </w:p>
    <w:p w14:paraId="63F3667F" w14:textId="77777777" w:rsidR="0032473B" w:rsidRPr="0032473B" w:rsidRDefault="0032473B" w:rsidP="0032473B">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32473B">
        <w:rPr>
          <w:rFonts w:ascii="Arial" w:eastAsia="Times New Roman" w:hAnsi="Arial" w:cs="Arial"/>
          <w:color w:val="333333"/>
          <w:spacing w:val="5"/>
          <w:sz w:val="23"/>
          <w:szCs w:val="23"/>
        </w:rPr>
        <w:t>Teachers of these students reported that student’s goal attainment predicted change in their self-determination.</w:t>
      </w:r>
    </w:p>
    <w:p w14:paraId="0BB00077" w14:textId="77777777" w:rsidR="0032473B" w:rsidRPr="0032473B" w:rsidRDefault="0032473B" w:rsidP="0032473B">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32473B">
        <w:rPr>
          <w:rFonts w:ascii="Arial" w:eastAsia="Times New Roman" w:hAnsi="Arial" w:cs="Arial"/>
          <w:color w:val="333333"/>
          <w:spacing w:val="5"/>
          <w:sz w:val="23"/>
          <w:szCs w:val="23"/>
        </w:rPr>
        <w:t>Significant changes in students’ self-determination were also reported for SDLMI combined with Whose Future Is It?</w:t>
      </w:r>
    </w:p>
    <w:p w14:paraId="7A0E7F0A" w14:textId="77777777" w:rsidR="0032473B" w:rsidRPr="0032473B" w:rsidRDefault="0032473B" w:rsidP="0032473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32473B">
        <w:rPr>
          <w:rFonts w:ascii="Arial" w:eastAsia="Times New Roman" w:hAnsi="Arial" w:cs="Arial"/>
          <w:b/>
          <w:bCs/>
          <w:color w:val="333333"/>
          <w:spacing w:val="2"/>
          <w:sz w:val="23"/>
          <w:szCs w:val="23"/>
        </w:rPr>
        <w:t>Putting It into Practice:       </w:t>
      </w:r>
    </w:p>
    <w:p w14:paraId="192C8A1D" w14:textId="77777777" w:rsidR="0032473B" w:rsidRPr="0032473B" w:rsidRDefault="0032473B" w:rsidP="0032473B">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32473B">
        <w:rPr>
          <w:rFonts w:ascii="Arial" w:eastAsia="Times New Roman" w:hAnsi="Arial" w:cs="Arial"/>
          <w:color w:val="333333"/>
          <w:spacing w:val="5"/>
          <w:sz w:val="23"/>
          <w:szCs w:val="23"/>
        </w:rPr>
        <w:t>The focus on integrated employment for individuals with intellectual disabilities should include young people with disabilities at the center of the process of identifying, setting, and working toward future goals.</w:t>
      </w:r>
    </w:p>
    <w:p w14:paraId="5CBB282A" w14:textId="77777777" w:rsidR="0032473B" w:rsidRPr="0032473B" w:rsidRDefault="0032473B" w:rsidP="0032473B">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32473B">
        <w:rPr>
          <w:rFonts w:ascii="Arial" w:eastAsia="Times New Roman" w:hAnsi="Arial" w:cs="Arial"/>
          <w:color w:val="333333"/>
          <w:spacing w:val="5"/>
          <w:sz w:val="23"/>
          <w:szCs w:val="23"/>
        </w:rPr>
        <w:lastRenderedPageBreak/>
        <w:t>Results of the study indicate a strong benefit in self-determination for individuals with disabilities and SDLMI can be used to promote self-determination and goal attainment.</w:t>
      </w:r>
    </w:p>
    <w:p w14:paraId="1300C4DA" w14:textId="77777777" w:rsidR="0032473B" w:rsidRPr="0032473B" w:rsidRDefault="0032473B" w:rsidP="0032473B">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32473B">
        <w:rPr>
          <w:rFonts w:ascii="Arial" w:eastAsia="Times New Roman" w:hAnsi="Arial" w:cs="Arial"/>
          <w:color w:val="333333"/>
          <w:spacing w:val="5"/>
          <w:sz w:val="23"/>
          <w:szCs w:val="23"/>
        </w:rPr>
        <w:t>Collaborations between schools and adult support agencies can be developed using self-determination as the base of instruction and support.</w:t>
      </w:r>
    </w:p>
    <w:p w14:paraId="1F8CA0C3" w14:textId="77777777" w:rsidR="0032473B" w:rsidRPr="0032473B" w:rsidRDefault="0032473B" w:rsidP="0032473B">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32473B">
        <w:rPr>
          <w:rFonts w:ascii="Arial" w:eastAsia="Times New Roman" w:hAnsi="Arial" w:cs="Arial"/>
          <w:color w:val="333333"/>
          <w:spacing w:val="5"/>
          <w:sz w:val="23"/>
          <w:szCs w:val="23"/>
        </w:rPr>
        <w:t>SDLMI can be relevant for all students due to the instruction in key skills of self-determination and the individualization for any situation.</w:t>
      </w:r>
    </w:p>
    <w:p w14:paraId="710009D7" w14:textId="77777777" w:rsidR="0032473B" w:rsidRPr="0032473B" w:rsidRDefault="0032473B" w:rsidP="0032473B">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32473B">
        <w:rPr>
          <w:rFonts w:ascii="Arial" w:eastAsia="Times New Roman" w:hAnsi="Arial" w:cs="Arial"/>
          <w:color w:val="333333"/>
          <w:spacing w:val="5"/>
          <w:sz w:val="23"/>
          <w:szCs w:val="23"/>
        </w:rPr>
        <w:t>SDLMI was developed to be student-directed as opposed to teacher-directed. Teachers individualize the instruction for students and their specific learning goals.</w:t>
      </w:r>
    </w:p>
    <w:p w14:paraId="2986755E" w14:textId="77777777" w:rsidR="0032473B" w:rsidRPr="0032473B" w:rsidRDefault="0032473B" w:rsidP="0032473B">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32473B">
        <w:rPr>
          <w:rFonts w:ascii="Arial" w:eastAsia="Times New Roman" w:hAnsi="Arial" w:cs="Arial"/>
          <w:color w:val="333333"/>
          <w:spacing w:val="5"/>
          <w:sz w:val="23"/>
          <w:szCs w:val="23"/>
        </w:rPr>
        <w:t>SDLMI can be utilized for students with severe disabilities by individualizing the supports provided based on communication and comprehension-related needs.</w:t>
      </w:r>
    </w:p>
    <w:p w14:paraId="26515F28" w14:textId="77777777" w:rsidR="0032473B" w:rsidRPr="0032473B" w:rsidRDefault="0032473B" w:rsidP="0032473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32473B">
        <w:rPr>
          <w:rFonts w:ascii="Arial" w:eastAsia="Times New Roman" w:hAnsi="Arial" w:cs="Arial"/>
          <w:b/>
          <w:bCs/>
          <w:color w:val="333333"/>
          <w:spacing w:val="2"/>
          <w:sz w:val="23"/>
          <w:szCs w:val="23"/>
        </w:rPr>
        <w:t>More about this Article (Where to go from here?)</w:t>
      </w:r>
    </w:p>
    <w:p w14:paraId="1ABC4A5D" w14:textId="77777777" w:rsidR="0032473B" w:rsidRPr="0032473B" w:rsidRDefault="0032473B" w:rsidP="0032473B">
      <w:pPr>
        <w:numPr>
          <w:ilvl w:val="0"/>
          <w:numId w:val="3"/>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32473B">
        <w:rPr>
          <w:rFonts w:ascii="Arial" w:eastAsia="Times New Roman" w:hAnsi="Arial" w:cs="Arial"/>
          <w:color w:val="333333"/>
          <w:spacing w:val="5"/>
          <w:sz w:val="23"/>
          <w:szCs w:val="23"/>
        </w:rPr>
        <w:t>Only 10% of adults with intellectual and developmental disabilities in the U.S. are competitively employed in the community.</w:t>
      </w:r>
    </w:p>
    <w:p w14:paraId="447D9A8A" w14:textId="77777777" w:rsidR="0032473B" w:rsidRPr="0032473B" w:rsidRDefault="0032473B" w:rsidP="0032473B">
      <w:pPr>
        <w:numPr>
          <w:ilvl w:val="0"/>
          <w:numId w:val="3"/>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32473B">
        <w:rPr>
          <w:rFonts w:ascii="Arial" w:eastAsia="Times New Roman" w:hAnsi="Arial" w:cs="Arial"/>
          <w:color w:val="333333"/>
          <w:spacing w:val="5"/>
          <w:sz w:val="23"/>
          <w:szCs w:val="23"/>
        </w:rPr>
        <w:t>The go-to option for many adults with intellectual disabilities is segregated, non-</w:t>
      </w:r>
      <w:proofErr w:type="gramStart"/>
      <w:r w:rsidRPr="0032473B">
        <w:rPr>
          <w:rFonts w:ascii="Arial" w:eastAsia="Times New Roman" w:hAnsi="Arial" w:cs="Arial"/>
          <w:color w:val="333333"/>
          <w:spacing w:val="5"/>
          <w:sz w:val="23"/>
          <w:szCs w:val="23"/>
        </w:rPr>
        <w:t>community based</w:t>
      </w:r>
      <w:proofErr w:type="gramEnd"/>
      <w:r w:rsidRPr="0032473B">
        <w:rPr>
          <w:rFonts w:ascii="Arial" w:eastAsia="Times New Roman" w:hAnsi="Arial" w:cs="Arial"/>
          <w:color w:val="333333"/>
          <w:spacing w:val="5"/>
          <w:sz w:val="23"/>
          <w:szCs w:val="23"/>
        </w:rPr>
        <w:t xml:space="preserve"> employment, despite studies that show that those models of employment do not lead to integrated community employment.</w:t>
      </w:r>
    </w:p>
    <w:p w14:paraId="219E8849" w14:textId="77777777" w:rsidR="0032473B" w:rsidRPr="0032473B" w:rsidRDefault="0032473B" w:rsidP="0032473B">
      <w:pPr>
        <w:numPr>
          <w:ilvl w:val="0"/>
          <w:numId w:val="3"/>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32473B">
        <w:rPr>
          <w:rFonts w:ascii="Arial" w:eastAsia="Times New Roman" w:hAnsi="Arial" w:cs="Arial"/>
          <w:color w:val="333333"/>
          <w:spacing w:val="5"/>
          <w:sz w:val="23"/>
          <w:szCs w:val="23"/>
        </w:rPr>
        <w:t>It is estimated that the lack of instruction, opportunities, and supports for self-determination for individuals with intellectual disabilities are the reasons that these individuals are often less self-determined than peers without disabilities.</w:t>
      </w:r>
    </w:p>
    <w:p w14:paraId="59DF1E6D" w14:textId="77777777" w:rsidR="0032473B" w:rsidRPr="0032473B" w:rsidRDefault="0032473B" w:rsidP="0032473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32473B">
        <w:rPr>
          <w:rFonts w:ascii="Arial" w:eastAsia="Times New Roman" w:hAnsi="Arial" w:cs="Arial"/>
          <w:color w:val="333333"/>
          <w:spacing w:val="2"/>
          <w:sz w:val="23"/>
          <w:szCs w:val="23"/>
        </w:rPr>
        <w:t> </w:t>
      </w:r>
    </w:p>
    <w:p w14:paraId="5F9F277E" w14:textId="77777777" w:rsidR="0032473B" w:rsidRPr="0032473B" w:rsidRDefault="0032473B" w:rsidP="0032473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32473B">
        <w:rPr>
          <w:rFonts w:ascii="Arial" w:eastAsia="Times New Roman" w:hAnsi="Arial" w:cs="Arial"/>
          <w:b/>
          <w:bCs/>
          <w:color w:val="333333"/>
          <w:spacing w:val="2"/>
          <w:sz w:val="23"/>
          <w:szCs w:val="23"/>
          <w:u w:val="single"/>
        </w:rPr>
        <w:t>Article Citation</w:t>
      </w:r>
      <w:r w:rsidRPr="0032473B">
        <w:rPr>
          <w:rFonts w:ascii="Arial" w:eastAsia="Times New Roman" w:hAnsi="Arial" w:cs="Arial"/>
          <w:b/>
          <w:bCs/>
          <w:color w:val="333333"/>
          <w:spacing w:val="2"/>
          <w:sz w:val="23"/>
          <w:szCs w:val="23"/>
        </w:rPr>
        <w:t>:</w:t>
      </w:r>
      <w:r w:rsidRPr="0032473B">
        <w:rPr>
          <w:rFonts w:ascii="Arial" w:eastAsia="Times New Roman" w:hAnsi="Arial" w:cs="Arial"/>
          <w:color w:val="333333"/>
          <w:spacing w:val="2"/>
          <w:sz w:val="23"/>
          <w:szCs w:val="23"/>
        </w:rPr>
        <w:t> </w:t>
      </w:r>
      <w:proofErr w:type="spellStart"/>
      <w:r w:rsidRPr="0032473B">
        <w:rPr>
          <w:rFonts w:ascii="Arial" w:eastAsia="Times New Roman" w:hAnsi="Arial" w:cs="Arial"/>
          <w:color w:val="333333"/>
          <w:spacing w:val="2"/>
          <w:sz w:val="23"/>
          <w:szCs w:val="23"/>
        </w:rPr>
        <w:t>Shogren</w:t>
      </w:r>
      <w:proofErr w:type="spellEnd"/>
      <w:r w:rsidRPr="0032473B">
        <w:rPr>
          <w:rFonts w:ascii="Arial" w:eastAsia="Times New Roman" w:hAnsi="Arial" w:cs="Arial"/>
          <w:color w:val="333333"/>
          <w:spacing w:val="2"/>
          <w:sz w:val="23"/>
          <w:szCs w:val="23"/>
        </w:rPr>
        <w:t xml:space="preserve">, K.A.; Burke, Anderson, K.M.; </w:t>
      </w:r>
      <w:proofErr w:type="spellStart"/>
      <w:r w:rsidRPr="0032473B">
        <w:rPr>
          <w:rFonts w:ascii="Arial" w:eastAsia="Times New Roman" w:hAnsi="Arial" w:cs="Arial"/>
          <w:color w:val="333333"/>
          <w:spacing w:val="2"/>
          <w:sz w:val="23"/>
          <w:szCs w:val="23"/>
        </w:rPr>
        <w:t>Antosh</w:t>
      </w:r>
      <w:proofErr w:type="spellEnd"/>
      <w:r w:rsidRPr="0032473B">
        <w:rPr>
          <w:rFonts w:ascii="Arial" w:eastAsia="Times New Roman" w:hAnsi="Arial" w:cs="Arial"/>
          <w:color w:val="333333"/>
          <w:spacing w:val="2"/>
          <w:sz w:val="23"/>
          <w:szCs w:val="23"/>
        </w:rPr>
        <w:t xml:space="preserve">, M.H.; Anthony A.; </w:t>
      </w:r>
      <w:proofErr w:type="spellStart"/>
      <w:r w:rsidRPr="0032473B">
        <w:rPr>
          <w:rFonts w:ascii="Arial" w:eastAsia="Times New Roman" w:hAnsi="Arial" w:cs="Arial"/>
          <w:color w:val="333333"/>
          <w:spacing w:val="2"/>
          <w:sz w:val="23"/>
          <w:szCs w:val="23"/>
        </w:rPr>
        <w:t>Wehmeyer</w:t>
      </w:r>
      <w:proofErr w:type="spellEnd"/>
      <w:r w:rsidRPr="0032473B">
        <w:rPr>
          <w:rFonts w:ascii="Arial" w:eastAsia="Times New Roman" w:hAnsi="Arial" w:cs="Arial"/>
          <w:color w:val="333333"/>
          <w:spacing w:val="2"/>
          <w:sz w:val="23"/>
          <w:szCs w:val="23"/>
        </w:rPr>
        <w:t>, M.L.; LaPlante, T.; &amp; Shaw, L.A. (2018). Evaluating the Differential Impact of Interventions to Promote Self-Determination and Goal Attainment for Transition-Age Youth with Intellectual Disabilities. Research and Practice for Persons with Severe Disabilities, 43(3), 165-180.</w:t>
      </w:r>
    </w:p>
    <w:p w14:paraId="77BAFC30" w14:textId="77777777" w:rsidR="0032473B" w:rsidRPr="0032473B" w:rsidRDefault="0032473B" w:rsidP="0032473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32473B">
        <w:rPr>
          <w:rFonts w:ascii="Arial" w:eastAsia="Times New Roman" w:hAnsi="Arial" w:cs="Arial"/>
          <w:b/>
          <w:bCs/>
          <w:color w:val="333333"/>
          <w:spacing w:val="2"/>
          <w:sz w:val="23"/>
          <w:szCs w:val="23"/>
          <w:u w:val="single"/>
        </w:rPr>
        <w:t>Learn More</w:t>
      </w:r>
      <w:r w:rsidRPr="0032473B">
        <w:rPr>
          <w:rFonts w:ascii="Arial" w:eastAsia="Times New Roman" w:hAnsi="Arial" w:cs="Arial"/>
          <w:color w:val="333333"/>
          <w:spacing w:val="2"/>
          <w:sz w:val="23"/>
          <w:szCs w:val="23"/>
        </w:rPr>
        <w:t> Access this article by visiting the </w:t>
      </w:r>
      <w:hyperlink r:id="rId7" w:history="1">
        <w:r w:rsidRPr="0032473B">
          <w:rPr>
            <w:rFonts w:ascii="Arial" w:eastAsia="Times New Roman" w:hAnsi="Arial" w:cs="Arial"/>
            <w:b/>
            <w:bCs/>
            <w:color w:val="516556"/>
            <w:spacing w:val="2"/>
            <w:sz w:val="23"/>
            <w:szCs w:val="23"/>
            <w:u w:val="single"/>
          </w:rPr>
          <w:t>RRTC Research Articles Database</w:t>
        </w:r>
      </w:hyperlink>
    </w:p>
    <w:p w14:paraId="5B69C176" w14:textId="77777777" w:rsidR="0032473B" w:rsidRPr="0032473B" w:rsidRDefault="0032473B" w:rsidP="0032473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32473B">
        <w:rPr>
          <w:rFonts w:ascii="Arial" w:eastAsia="Times New Roman" w:hAnsi="Arial" w:cs="Arial"/>
          <w:b/>
          <w:bCs/>
          <w:color w:val="333333"/>
          <w:spacing w:val="2"/>
          <w:sz w:val="23"/>
          <w:szCs w:val="23"/>
          <w:u w:val="single"/>
        </w:rPr>
        <w:t>Questions? Feedback</w:t>
      </w:r>
      <w:r w:rsidRPr="0032473B">
        <w:rPr>
          <w:rFonts w:ascii="Arial" w:eastAsia="Times New Roman" w:hAnsi="Arial" w:cs="Arial"/>
          <w:b/>
          <w:bCs/>
          <w:color w:val="333333"/>
          <w:spacing w:val="2"/>
          <w:sz w:val="23"/>
          <w:szCs w:val="23"/>
        </w:rPr>
        <w:t>?</w:t>
      </w:r>
      <w:r w:rsidRPr="0032473B">
        <w:rPr>
          <w:rFonts w:ascii="Arial" w:eastAsia="Times New Roman" w:hAnsi="Arial" w:cs="Arial"/>
          <w:color w:val="333333"/>
          <w:spacing w:val="2"/>
          <w:sz w:val="23"/>
          <w:szCs w:val="23"/>
        </w:rPr>
        <w:t>    Do you have questions or feedback about putting this research into practice? We’re waiting to hear from you!  Send us your </w:t>
      </w:r>
      <w:hyperlink r:id="rId8" w:history="1">
        <w:r w:rsidRPr="0032473B">
          <w:rPr>
            <w:rFonts w:ascii="Arial" w:eastAsia="Times New Roman" w:hAnsi="Arial" w:cs="Arial"/>
            <w:b/>
            <w:bCs/>
            <w:color w:val="516556"/>
            <w:spacing w:val="2"/>
            <w:sz w:val="23"/>
            <w:szCs w:val="23"/>
            <w:u w:val="single"/>
          </w:rPr>
          <w:t>questions or feedback</w:t>
        </w:r>
      </w:hyperlink>
    </w:p>
    <w:p w14:paraId="032FA7CF" w14:textId="77777777" w:rsidR="0032473B" w:rsidRPr="0032473B" w:rsidRDefault="0032473B" w:rsidP="0032473B">
      <w:pPr>
        <w:shd w:val="clear" w:color="auto" w:fill="FFFFFF"/>
        <w:spacing w:before="100" w:beforeAutospacing="1" w:after="100" w:afterAutospacing="1" w:line="240" w:lineRule="auto"/>
        <w:rPr>
          <w:rFonts w:ascii="Arial" w:eastAsia="Times New Roman" w:hAnsi="Arial" w:cs="Arial"/>
          <w:color w:val="333333"/>
          <w:spacing w:val="2"/>
          <w:sz w:val="23"/>
          <w:szCs w:val="23"/>
        </w:rPr>
      </w:pPr>
      <w:hyperlink r:id="rId9" w:history="1">
        <w:r w:rsidRPr="0032473B">
          <w:rPr>
            <w:rFonts w:ascii="Arial" w:eastAsia="Times New Roman" w:hAnsi="Arial" w:cs="Arial"/>
            <w:b/>
            <w:bCs/>
            <w:color w:val="516556"/>
            <w:spacing w:val="2"/>
            <w:sz w:val="23"/>
            <w:szCs w:val="23"/>
            <w:u w:val="single"/>
          </w:rPr>
          <w:t>https://idd.vcurrtc.org/</w:t>
        </w:r>
      </w:hyperlink>
    </w:p>
    <w:p w14:paraId="56455ECE" w14:textId="77777777" w:rsidR="0032473B" w:rsidRPr="0032473B" w:rsidRDefault="0032473B" w:rsidP="0032473B">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32473B">
        <w:rPr>
          <w:rFonts w:ascii="Arial" w:eastAsia="Times New Roman" w:hAnsi="Arial" w:cs="Arial"/>
          <w:color w:val="333333"/>
          <w:spacing w:val="2"/>
          <w:sz w:val="23"/>
          <w:szCs w:val="23"/>
        </w:rPr>
        <w:t>Virginia Commonwealth University, Rehabilitation Research and Training Center (VCU-RRTC) is an equal opportunity/affirmative action institution providing access to education and employment without regard to age, race, color, national origin, gender, religion, sexual orientation, veteran’s status, political affiliation, or disability.  The VCU-RRTC is funded by the National Institute on Disability, Independent Living, and Rehabilitation Research (NIDILRR grant #90RTEM0003).  NIDILRR is a Center within the Administration for Community Living (ACL), Department of Health and Human Services (HHS</w:t>
      </w:r>
      <w:proofErr w:type="gramStart"/>
      <w:r w:rsidRPr="0032473B">
        <w:rPr>
          <w:rFonts w:ascii="Arial" w:eastAsia="Times New Roman" w:hAnsi="Arial" w:cs="Arial"/>
          <w:color w:val="333333"/>
          <w:spacing w:val="2"/>
          <w:sz w:val="23"/>
          <w:szCs w:val="23"/>
        </w:rPr>
        <w:t>).f</w:t>
      </w:r>
      <w:proofErr w:type="gramEnd"/>
      <w:r w:rsidRPr="0032473B">
        <w:rPr>
          <w:rFonts w:ascii="Arial" w:eastAsia="Times New Roman" w:hAnsi="Arial" w:cs="Arial"/>
          <w:color w:val="333333"/>
          <w:spacing w:val="2"/>
          <w:sz w:val="23"/>
          <w:szCs w:val="23"/>
        </w:rPr>
        <w:t xml:space="preserve"> special accommodations are needed, please contact Vicki Brooke at (804) 828-1851 VOICE or (804) 828-2494 TTY.</w:t>
      </w:r>
    </w:p>
    <w:p w14:paraId="3E52DDEE" w14:textId="77777777" w:rsidR="007C439E" w:rsidRDefault="00DB60A0"/>
    <w:sectPr w:rsidR="007C439E" w:rsidSect="0032473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26960" w14:textId="77777777" w:rsidR="00DB60A0" w:rsidRDefault="00DB60A0" w:rsidP="0032473B">
      <w:pPr>
        <w:spacing w:after="0" w:line="240" w:lineRule="auto"/>
      </w:pPr>
      <w:r>
        <w:separator/>
      </w:r>
    </w:p>
  </w:endnote>
  <w:endnote w:type="continuationSeparator" w:id="0">
    <w:p w14:paraId="525D0604" w14:textId="77777777" w:rsidR="00DB60A0" w:rsidRDefault="00DB60A0" w:rsidP="00324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BD4EF" w14:textId="77777777" w:rsidR="0032473B" w:rsidRDefault="003247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B4DC6" w14:textId="77777777" w:rsidR="0032473B" w:rsidRDefault="003247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BF0B9" w14:textId="77777777" w:rsidR="0032473B" w:rsidRDefault="0032473B">
    <w:pPr>
      <w:pStyle w:val="Footer"/>
    </w:pPr>
    <w:bookmarkStart w:id="0" w:name="_GoBac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A722B" w14:textId="77777777" w:rsidR="00DB60A0" w:rsidRDefault="00DB60A0" w:rsidP="0032473B">
      <w:pPr>
        <w:spacing w:after="0" w:line="240" w:lineRule="auto"/>
      </w:pPr>
      <w:r>
        <w:separator/>
      </w:r>
    </w:p>
  </w:footnote>
  <w:footnote w:type="continuationSeparator" w:id="0">
    <w:p w14:paraId="407F744B" w14:textId="77777777" w:rsidR="00DB60A0" w:rsidRDefault="00DB60A0" w:rsidP="00324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A5F81" w14:textId="77777777" w:rsidR="0032473B" w:rsidRDefault="003247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E9EB4" w14:textId="5FB6E9C8" w:rsidR="0032473B" w:rsidRDefault="0032473B">
    <w:pPr>
      <w:pStyle w:val="Header"/>
    </w:pPr>
  </w:p>
  <w:p w14:paraId="69079398" w14:textId="77777777" w:rsidR="0032473B" w:rsidRDefault="003247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B2FEB" w14:textId="35C478AC" w:rsidR="0032473B" w:rsidRDefault="0032473B">
    <w:pPr>
      <w:pStyle w:val="Header"/>
    </w:pPr>
    <w:r>
      <w:rPr>
        <w:noProof/>
      </w:rPr>
      <w:drawing>
        <wp:inline distT="0" distB="0" distL="0" distR="0" wp14:anchorId="4D56296A" wp14:editId="079DF9C4">
          <wp:extent cx="5943600" cy="966470"/>
          <wp:effectExtent l="0" t="0" r="0" b="5080"/>
          <wp:docPr id="1" name="Picture 1"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d.JPG"/>
                  <pic:cNvPicPr/>
                </pic:nvPicPr>
                <pic:blipFill>
                  <a:blip r:embed="rId1">
                    <a:extLst>
                      <a:ext uri="{28A0092B-C50C-407E-A947-70E740481C1C}">
                        <a14:useLocalDpi xmlns:a14="http://schemas.microsoft.com/office/drawing/2010/main" val="0"/>
                      </a:ext>
                    </a:extLst>
                  </a:blip>
                  <a:stretch>
                    <a:fillRect/>
                  </a:stretch>
                </pic:blipFill>
                <pic:spPr>
                  <a:xfrm>
                    <a:off x="0" y="0"/>
                    <a:ext cx="5943600" cy="9664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D74CB8"/>
    <w:multiLevelType w:val="multilevel"/>
    <w:tmpl w:val="E966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7CC14BA"/>
    <w:multiLevelType w:val="multilevel"/>
    <w:tmpl w:val="A606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98779CD"/>
    <w:multiLevelType w:val="multilevel"/>
    <w:tmpl w:val="E1C6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73B"/>
    <w:rsid w:val="0032473B"/>
    <w:rsid w:val="00A77EE1"/>
    <w:rsid w:val="00DB60A0"/>
    <w:rsid w:val="00ED0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DB3CF"/>
  <w15:chartTrackingRefBased/>
  <w15:docId w15:val="{58B3BEA6-2459-4A83-A02F-F6862F00F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3247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2473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2473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473B"/>
    <w:rPr>
      <w:b/>
      <w:bCs/>
    </w:rPr>
  </w:style>
  <w:style w:type="character" w:styleId="Emphasis">
    <w:name w:val="Emphasis"/>
    <w:basedOn w:val="DefaultParagraphFont"/>
    <w:uiPriority w:val="20"/>
    <w:qFormat/>
    <w:rsid w:val="0032473B"/>
    <w:rPr>
      <w:i/>
      <w:iCs/>
    </w:rPr>
  </w:style>
  <w:style w:type="character" w:styleId="Hyperlink">
    <w:name w:val="Hyperlink"/>
    <w:basedOn w:val="DefaultParagraphFont"/>
    <w:uiPriority w:val="99"/>
    <w:semiHidden/>
    <w:unhideWhenUsed/>
    <w:rsid w:val="0032473B"/>
    <w:rPr>
      <w:color w:val="0000FF"/>
      <w:u w:val="single"/>
    </w:rPr>
  </w:style>
  <w:style w:type="paragraph" w:styleId="Header">
    <w:name w:val="header"/>
    <w:basedOn w:val="Normal"/>
    <w:link w:val="HeaderChar"/>
    <w:uiPriority w:val="99"/>
    <w:unhideWhenUsed/>
    <w:rsid w:val="003247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73B"/>
  </w:style>
  <w:style w:type="paragraph" w:styleId="Footer">
    <w:name w:val="footer"/>
    <w:basedOn w:val="Normal"/>
    <w:link w:val="FooterChar"/>
    <w:uiPriority w:val="99"/>
    <w:unhideWhenUsed/>
    <w:rsid w:val="003247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61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rtc@vcu.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dd.vcurrtc.org/resources/database/details.cfm?articleID=971"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dd.vcurrtc.or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 Friel</dc:creator>
  <cp:keywords/>
  <dc:description/>
  <cp:lastModifiedBy>Lucian Friel</cp:lastModifiedBy>
  <cp:revision>1</cp:revision>
  <dcterms:created xsi:type="dcterms:W3CDTF">2020-02-07T19:35:00Z</dcterms:created>
  <dcterms:modified xsi:type="dcterms:W3CDTF">2020-02-07T19:37:00Z</dcterms:modified>
</cp:coreProperties>
</file>